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2621CF" w:rsidRDefault="007965B8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E294E">
        <w:rPr>
          <w:rFonts w:ascii="Times New Roman" w:hAnsi="Times New Roman" w:cs="Times New Roman"/>
          <w:b/>
          <w:sz w:val="24"/>
          <w:szCs w:val="24"/>
        </w:rPr>
        <w:t>26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E294E">
        <w:rPr>
          <w:rFonts w:ascii="Times New Roman" w:hAnsi="Times New Roman" w:cs="Times New Roman"/>
          <w:b/>
          <w:sz w:val="24"/>
          <w:szCs w:val="24"/>
        </w:rPr>
        <w:t>27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9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 w:rsidR="005E294E">
        <w:rPr>
          <w:rFonts w:ascii="Times New Roman" w:hAnsi="Times New Roman" w:cs="Times New Roman"/>
          <w:b/>
          <w:sz w:val="24"/>
          <w:szCs w:val="24"/>
        </w:rPr>
        <w:t>1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621CF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2621C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Pr="002621C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2621CF">
        <w:rPr>
          <w:rFonts w:ascii="Times New Roman" w:hAnsi="Times New Roman" w:cs="Times New Roman"/>
          <w:b/>
          <w:sz w:val="24"/>
          <w:szCs w:val="24"/>
        </w:rPr>
        <w:t>2</w:t>
      </w:r>
      <w:r w:rsidR="005E294E">
        <w:rPr>
          <w:rFonts w:ascii="Times New Roman" w:hAnsi="Times New Roman" w:cs="Times New Roman"/>
          <w:b/>
          <w:sz w:val="24"/>
          <w:szCs w:val="24"/>
        </w:rPr>
        <w:t>1</w:t>
      </w:r>
      <w:r w:rsidRPr="002621C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21CF" w:rsidRPr="005E294E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94E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«Горнякское» от </w:t>
      </w:r>
      <w:r w:rsidR="005E294E" w:rsidRPr="005E294E">
        <w:rPr>
          <w:rFonts w:ascii="Times New Roman" w:hAnsi="Times New Roman" w:cs="Times New Roman"/>
          <w:sz w:val="24"/>
          <w:szCs w:val="24"/>
        </w:rPr>
        <w:t>15</w:t>
      </w:r>
      <w:r w:rsidRPr="005E294E">
        <w:rPr>
          <w:rFonts w:ascii="Times New Roman" w:hAnsi="Times New Roman" w:cs="Times New Roman"/>
          <w:sz w:val="24"/>
          <w:szCs w:val="24"/>
        </w:rPr>
        <w:t>.04.202</w:t>
      </w:r>
      <w:r w:rsidR="005E294E" w:rsidRPr="005E294E">
        <w:rPr>
          <w:rFonts w:ascii="Times New Roman" w:hAnsi="Times New Roman" w:cs="Times New Roman"/>
          <w:sz w:val="24"/>
          <w:szCs w:val="24"/>
        </w:rPr>
        <w:t>1г. № 18</w:t>
      </w:r>
      <w:r w:rsidRPr="005E294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«Горнякское» за 1 квартал 202</w:t>
      </w:r>
      <w:r w:rsidR="005E294E" w:rsidRPr="005E294E">
        <w:rPr>
          <w:rFonts w:ascii="Times New Roman" w:hAnsi="Times New Roman" w:cs="Times New Roman"/>
          <w:sz w:val="24"/>
          <w:szCs w:val="24"/>
        </w:rPr>
        <w:t>1</w:t>
      </w:r>
      <w:r w:rsidRPr="005E294E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5E2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94E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Уставом муниципального образования «Горнякское», Положением «О бюджетном процессе в муниципальном образовании «Горнякское», утвержденным решением Совета депутатов муниципального образования «Горнякское» от 12.02.2018г. № 14.5, в ред. изменений,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«Горнякское» по осуществлению внешнего</w:t>
      </w:r>
      <w:proofErr w:type="gramEnd"/>
      <w:r w:rsidRPr="005E2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94E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контроля, утвержденного решением Совета депутатов муниципального образования «Горнякское» (от </w:t>
      </w:r>
      <w:r w:rsidR="005E294E" w:rsidRPr="005E294E">
        <w:rPr>
          <w:rFonts w:ascii="Times New Roman" w:hAnsi="Times New Roman" w:cs="Times New Roman"/>
          <w:sz w:val="24"/>
          <w:szCs w:val="24"/>
        </w:rPr>
        <w:t>24.12.2020</w:t>
      </w:r>
      <w:r w:rsidRPr="005E294E">
        <w:rPr>
          <w:rFonts w:ascii="Times New Roman" w:hAnsi="Times New Roman" w:cs="Times New Roman"/>
          <w:sz w:val="24"/>
          <w:szCs w:val="24"/>
        </w:rPr>
        <w:t xml:space="preserve">г. № </w:t>
      </w:r>
      <w:r w:rsidR="005E294E" w:rsidRPr="005E294E">
        <w:rPr>
          <w:rFonts w:ascii="Times New Roman" w:hAnsi="Times New Roman" w:cs="Times New Roman"/>
          <w:sz w:val="24"/>
          <w:szCs w:val="24"/>
        </w:rPr>
        <w:t>34</w:t>
      </w:r>
      <w:r w:rsidRPr="005E294E">
        <w:rPr>
          <w:rFonts w:ascii="Times New Roman" w:hAnsi="Times New Roman" w:cs="Times New Roman"/>
          <w:sz w:val="24"/>
          <w:szCs w:val="24"/>
        </w:rPr>
        <w:t>.2, Положением  о контрольно - счетном отделе муниципального образования «Можгинский район», утвержденным решением</w:t>
      </w:r>
      <w:proofErr w:type="gramEnd"/>
      <w:r w:rsidRPr="005E2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94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</w:t>
      </w:r>
      <w:r w:rsidR="005E294E" w:rsidRPr="005E294E">
        <w:rPr>
          <w:rFonts w:ascii="Times New Roman" w:hAnsi="Times New Roman" w:cs="Times New Roman"/>
          <w:sz w:val="24"/>
          <w:szCs w:val="24"/>
        </w:rPr>
        <w:t>ольно-счётный отдел) на 2021</w:t>
      </w:r>
      <w:r w:rsidRPr="005E294E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Совета депутатов муниципального образования «Можгинский район» от </w:t>
      </w:r>
      <w:r w:rsidR="005E294E" w:rsidRPr="005E294E">
        <w:rPr>
          <w:rFonts w:ascii="Times New Roman" w:hAnsi="Times New Roman" w:cs="Times New Roman"/>
          <w:sz w:val="24"/>
          <w:szCs w:val="24"/>
        </w:rPr>
        <w:t>23</w:t>
      </w:r>
      <w:r w:rsidRPr="005E294E">
        <w:rPr>
          <w:rFonts w:ascii="Times New Roman" w:hAnsi="Times New Roman" w:cs="Times New Roman"/>
          <w:sz w:val="24"/>
          <w:szCs w:val="24"/>
        </w:rPr>
        <w:t>.12.20</w:t>
      </w:r>
      <w:r w:rsidR="005E294E" w:rsidRPr="005E294E">
        <w:rPr>
          <w:rFonts w:ascii="Times New Roman" w:hAnsi="Times New Roman" w:cs="Times New Roman"/>
          <w:sz w:val="24"/>
          <w:szCs w:val="24"/>
        </w:rPr>
        <w:t>20</w:t>
      </w:r>
      <w:r w:rsidRPr="005E294E">
        <w:rPr>
          <w:rFonts w:ascii="Times New Roman" w:hAnsi="Times New Roman" w:cs="Times New Roman"/>
          <w:sz w:val="24"/>
          <w:szCs w:val="24"/>
        </w:rPr>
        <w:t>г. № 3</w:t>
      </w:r>
      <w:r w:rsidR="005E294E" w:rsidRPr="005E294E">
        <w:rPr>
          <w:rFonts w:ascii="Times New Roman" w:hAnsi="Times New Roman" w:cs="Times New Roman"/>
          <w:sz w:val="24"/>
          <w:szCs w:val="24"/>
        </w:rPr>
        <w:t>8.13</w:t>
      </w:r>
      <w:r w:rsidRPr="005E294E">
        <w:rPr>
          <w:rFonts w:ascii="Times New Roman" w:hAnsi="Times New Roman" w:cs="Times New Roman"/>
          <w:sz w:val="24"/>
          <w:szCs w:val="24"/>
        </w:rPr>
        <w:t>, Стандарта  внешнего муниципального финансового контроля «Проведение экспертно-аналитического мероприятия»</w:t>
      </w:r>
      <w:r w:rsidRPr="005E294E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председателем контрольно-счетного отдела. </w:t>
      </w:r>
      <w:proofErr w:type="gramEnd"/>
    </w:p>
    <w:p w:rsidR="00C92E0F" w:rsidRPr="005E294E" w:rsidRDefault="002621CF" w:rsidP="005E29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5E294E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«Горнякское»</w:t>
      </w:r>
      <w:r w:rsidR="00C92E0F" w:rsidRPr="005E294E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5E294E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944493" w:rsidRPr="005E294E" w:rsidRDefault="00F74D01" w:rsidP="005E29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</w:t>
      </w:r>
      <w:r w:rsidR="005E294E" w:rsidRPr="005E294E">
        <w:rPr>
          <w:rFonts w:ascii="Times New Roman" w:hAnsi="Times New Roman" w:cs="Times New Roman"/>
          <w:sz w:val="24"/>
          <w:szCs w:val="24"/>
        </w:rPr>
        <w:t>21</w:t>
      </w:r>
      <w:r w:rsidRPr="005E294E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E294E" w:rsidRPr="005E294E" w:rsidRDefault="005E294E" w:rsidP="005E29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94E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поступили в сумме 1 065,8тыс. руб., что составляет   22,5 % от плановых бюджетных назначений, в том числе налоговые и неналоговые  доходы поступили в сумме 115,8 тыс. руб., или 7,6%.  В структуре собственных  доходов 25% уровень от плановых назначений превысил по одному  доходному источнику ЕСХН – 36,8%, по остальным доходным источникам</w:t>
      </w:r>
      <w:proofErr w:type="gramEnd"/>
      <w:r w:rsidRPr="005E294E">
        <w:rPr>
          <w:rFonts w:ascii="Times New Roman" w:hAnsi="Times New Roman" w:cs="Times New Roman"/>
          <w:sz w:val="24"/>
          <w:szCs w:val="24"/>
        </w:rPr>
        <w:t xml:space="preserve"> процент исполнения составляет от  4,3% (земельный налог)  до 15,5% (НДФЛ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E294E">
        <w:rPr>
          <w:rFonts w:ascii="Times New Roman" w:hAnsi="Times New Roman" w:cs="Times New Roman"/>
          <w:sz w:val="24"/>
          <w:szCs w:val="24"/>
        </w:rPr>
        <w:t>Согласно  плана поступлений налоговых и неналоговых доходов на 2021 год, согласованного с Минфином УР, план по доходам сельскому поселению за 1 квартал согласован в сумме 120,0 тыс. руб., т.е. доходы  не выполнены на сумму 4,2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E">
        <w:rPr>
          <w:rFonts w:ascii="Times New Roman" w:hAnsi="Times New Roman" w:cs="Times New Roman"/>
          <w:sz w:val="24"/>
          <w:szCs w:val="24"/>
        </w:rPr>
        <w:t xml:space="preserve">руб.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E">
        <w:rPr>
          <w:rFonts w:ascii="Times New Roman" w:hAnsi="Times New Roman" w:cs="Times New Roman"/>
          <w:sz w:val="24"/>
          <w:szCs w:val="24"/>
        </w:rPr>
        <w:t>Безвозмездные поступления  при плане –  3 199,3 тыс. руб., в течение отчетного периода не уточнялись, поступили в сумме  950,0 тыс. руб., что состав</w:t>
      </w:r>
      <w:r>
        <w:rPr>
          <w:rFonts w:ascii="Times New Roman" w:hAnsi="Times New Roman" w:cs="Times New Roman"/>
          <w:sz w:val="24"/>
          <w:szCs w:val="24"/>
        </w:rPr>
        <w:t>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E">
        <w:rPr>
          <w:rFonts w:ascii="Times New Roman" w:hAnsi="Times New Roman" w:cs="Times New Roman"/>
          <w:sz w:val="24"/>
          <w:szCs w:val="24"/>
        </w:rPr>
        <w:t xml:space="preserve">29,7%  от плановых  назначений. Удельный вес безвозмездных поступлений </w:t>
      </w:r>
      <w:r w:rsidRPr="005E294E">
        <w:rPr>
          <w:rFonts w:ascii="Times New Roman" w:hAnsi="Times New Roman" w:cs="Times New Roman"/>
          <w:sz w:val="24"/>
          <w:szCs w:val="24"/>
        </w:rPr>
        <w:lastRenderedPageBreak/>
        <w:t xml:space="preserve">в общем объеме доходов -  89,1% к 70,0% в 2020г. Объем безвозмездных поступлений  выше  аналогичного периода 2020 года на сумму 88,1 тыс. руб. </w:t>
      </w:r>
    </w:p>
    <w:p w:rsidR="005E294E" w:rsidRPr="005E294E" w:rsidRDefault="005E294E" w:rsidP="005E29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5E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94E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01.04.2021г. в сравнении с аналогичным периодом прошлого года уменьшилась на  160,2 тыс. руб. и  составила в размере 368,8 тыс. руб. (на 01.04.2020г. составляла 529,0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E">
        <w:rPr>
          <w:rFonts w:ascii="Times New Roman" w:hAnsi="Times New Roman" w:cs="Times New Roman"/>
          <w:sz w:val="24"/>
          <w:szCs w:val="24"/>
        </w:rPr>
        <w:t>руб.).</w:t>
      </w:r>
    </w:p>
    <w:p w:rsidR="005E294E" w:rsidRDefault="005E294E" w:rsidP="005E29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>За 1 квартал 2021г. расходы освоены в сумме 1 003,7 тыс. руб., что составляет 21,2% от плановых бюджетных ассигнований.  Анализируя расходы бюджета сельского поселения, следует отметить, что в структуре расходов бюджета   сложился высокий процент исполнения по разделам: «Национальная экономика» - 48,7% к 44,0% в 2020г.,  «Культура и кинематография» - 100,0%.  По пяти разделам сложился низкий процент исполнения от 0,8 до 22,4%  от  плановых  бюджетных ассигнований, т.е. не превысили 25% уровень. В 1 квартале не осуществлялись расходы по разделу «Жилищно-коммунальное хозяйство».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E294E">
        <w:rPr>
          <w:rFonts w:ascii="Times New Roman" w:hAnsi="Times New Roman" w:cs="Times New Roman"/>
          <w:sz w:val="24"/>
          <w:szCs w:val="24"/>
        </w:rPr>
        <w:t xml:space="preserve"> 1 квартал 2021 года в сравнении с аналогичным периодом прошлого года,  по двум расходным источникам из семи наблюдается сокращение расходов, по четырем – увеличение, по одному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E">
        <w:rPr>
          <w:rFonts w:ascii="Times New Roman" w:hAnsi="Times New Roman" w:cs="Times New Roman"/>
          <w:sz w:val="24"/>
          <w:szCs w:val="24"/>
        </w:rPr>
        <w:t>на уровне 2020г.</w:t>
      </w:r>
    </w:p>
    <w:p w:rsidR="005E294E" w:rsidRPr="005E294E" w:rsidRDefault="005E294E" w:rsidP="005E29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профицитом  в размере  62,1 тыс. руб., что соответствует Отчету ф. 0503117. </w:t>
      </w:r>
    </w:p>
    <w:p w:rsidR="00A94FE3" w:rsidRPr="005E294E" w:rsidRDefault="0000021B" w:rsidP="005E29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5E294E" w:rsidRDefault="0000021B" w:rsidP="005E29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5E294E">
        <w:rPr>
          <w:rFonts w:ascii="Times New Roman" w:hAnsi="Times New Roman" w:cs="Times New Roman"/>
          <w:bCs/>
          <w:sz w:val="24"/>
          <w:szCs w:val="24"/>
        </w:rPr>
        <w:t>в</w:t>
      </w:r>
      <w:r w:rsidRPr="005E294E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5E294E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5E294E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5E294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294E">
        <w:rPr>
          <w:rFonts w:ascii="Times New Roman" w:hAnsi="Times New Roman" w:cs="Times New Roman"/>
          <w:sz w:val="24"/>
          <w:szCs w:val="24"/>
        </w:rPr>
        <w:t>.</w:t>
      </w:r>
    </w:p>
    <w:p w:rsidR="0000021B" w:rsidRPr="005E294E" w:rsidRDefault="0000021B" w:rsidP="005E29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5E294E" w:rsidRDefault="007965B8" w:rsidP="005E294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5E294E" w:rsidRDefault="00A877A6" w:rsidP="005E294E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E294E">
        <w:rPr>
          <w:rFonts w:ascii="Times New Roman" w:hAnsi="Times New Roman" w:cs="Times New Roman"/>
          <w:sz w:val="24"/>
          <w:szCs w:val="24"/>
        </w:rPr>
        <w:t xml:space="preserve">исп.  </w:t>
      </w:r>
      <w:r w:rsidR="005E294E" w:rsidRPr="005E294E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5E294E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5E294E">
        <w:rPr>
          <w:rFonts w:ascii="Times New Roman" w:hAnsi="Times New Roman" w:cs="Times New Roman"/>
          <w:sz w:val="24"/>
          <w:szCs w:val="24"/>
        </w:rPr>
        <w:t xml:space="preserve"> </w:t>
      </w:r>
      <w:r w:rsidRPr="005E294E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5E294E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5E294E" w:rsidRDefault="00BF4B67" w:rsidP="005E294E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C3750" w:rsidRPr="005E29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3750" w:rsidRPr="005E294E">
        <w:rPr>
          <w:rFonts w:ascii="Times New Roman" w:hAnsi="Times New Roman" w:cs="Times New Roman"/>
          <w:sz w:val="24"/>
          <w:szCs w:val="24"/>
        </w:rPr>
        <w:t>.202</w:t>
      </w:r>
      <w:r w:rsidR="005E294E" w:rsidRPr="005E294E">
        <w:rPr>
          <w:rFonts w:ascii="Times New Roman" w:hAnsi="Times New Roman" w:cs="Times New Roman"/>
          <w:sz w:val="24"/>
          <w:szCs w:val="24"/>
        </w:rPr>
        <w:t>1</w:t>
      </w:r>
      <w:r w:rsidR="001C3750" w:rsidRPr="005E294E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5E294E" w:rsidRDefault="001C3750" w:rsidP="005E294E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446BB"/>
    <w:rsid w:val="001814B6"/>
    <w:rsid w:val="001B53C8"/>
    <w:rsid w:val="001C3750"/>
    <w:rsid w:val="002055A4"/>
    <w:rsid w:val="002621CF"/>
    <w:rsid w:val="00267E09"/>
    <w:rsid w:val="00346850"/>
    <w:rsid w:val="00426A19"/>
    <w:rsid w:val="00571408"/>
    <w:rsid w:val="005A4DE9"/>
    <w:rsid w:val="005A5F45"/>
    <w:rsid w:val="005B7193"/>
    <w:rsid w:val="005E294E"/>
    <w:rsid w:val="0067166F"/>
    <w:rsid w:val="00695F96"/>
    <w:rsid w:val="006B6CD1"/>
    <w:rsid w:val="00734A1D"/>
    <w:rsid w:val="007965B8"/>
    <w:rsid w:val="007D4E4C"/>
    <w:rsid w:val="008354D2"/>
    <w:rsid w:val="008C579A"/>
    <w:rsid w:val="00944493"/>
    <w:rsid w:val="00975EDE"/>
    <w:rsid w:val="009926B4"/>
    <w:rsid w:val="009E7926"/>
    <w:rsid w:val="00A11F60"/>
    <w:rsid w:val="00A877A6"/>
    <w:rsid w:val="00A94FE3"/>
    <w:rsid w:val="00AB15B3"/>
    <w:rsid w:val="00AD456F"/>
    <w:rsid w:val="00AD5047"/>
    <w:rsid w:val="00AF505D"/>
    <w:rsid w:val="00B244A7"/>
    <w:rsid w:val="00BB0074"/>
    <w:rsid w:val="00BC0418"/>
    <w:rsid w:val="00BF4B67"/>
    <w:rsid w:val="00C72DC6"/>
    <w:rsid w:val="00C92E0F"/>
    <w:rsid w:val="00CE2C2C"/>
    <w:rsid w:val="00CF3793"/>
    <w:rsid w:val="00D83272"/>
    <w:rsid w:val="00DD34EA"/>
    <w:rsid w:val="00E33EE2"/>
    <w:rsid w:val="00E54991"/>
    <w:rsid w:val="00E57D2B"/>
    <w:rsid w:val="00E85B25"/>
    <w:rsid w:val="00E87DBD"/>
    <w:rsid w:val="00F1565D"/>
    <w:rsid w:val="00F664A8"/>
    <w:rsid w:val="00F71954"/>
    <w:rsid w:val="00F74D01"/>
    <w:rsid w:val="00F754E9"/>
    <w:rsid w:val="00F930D1"/>
    <w:rsid w:val="00FD1C00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6093-D0BE-4FF7-AABD-E9AA1005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24</cp:revision>
  <cp:lastPrinted>2020-05-15T06:31:00Z</cp:lastPrinted>
  <dcterms:created xsi:type="dcterms:W3CDTF">2020-05-15T06:01:00Z</dcterms:created>
  <dcterms:modified xsi:type="dcterms:W3CDTF">2021-05-17T10:34:00Z</dcterms:modified>
</cp:coreProperties>
</file>